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ED" w:rsidRPr="00572E81" w:rsidRDefault="00120651" w:rsidP="00D450ED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Avviso Viaggio a Cracovia Secondo</w:t>
      </w:r>
      <w:r w:rsidR="00D450ED" w:rsidRPr="00572E81">
        <w:rPr>
          <w:b/>
          <w:sz w:val="36"/>
          <w:szCs w:val="36"/>
        </w:rPr>
        <w:t xml:space="preserve"> Turno</w:t>
      </w:r>
    </w:p>
    <w:p w:rsidR="00D450ED" w:rsidRDefault="00D450ED" w:rsidP="00D450ED">
      <w:pPr>
        <w:rPr>
          <w:sz w:val="24"/>
          <w:szCs w:val="24"/>
        </w:rPr>
      </w:pPr>
    </w:p>
    <w:p w:rsidR="00D450ED" w:rsidRDefault="00D450ED" w:rsidP="00D450ED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di versare la quota di partecipazione al vi</w:t>
      </w:r>
      <w:r w:rsidR="00C81763">
        <w:rPr>
          <w:sz w:val="24"/>
          <w:szCs w:val="24"/>
        </w:rPr>
        <w:t>aggio a Cracovia</w:t>
      </w:r>
      <w:r w:rsidR="00C736CB">
        <w:rPr>
          <w:sz w:val="24"/>
          <w:szCs w:val="24"/>
        </w:rPr>
        <w:t xml:space="preserve"> entro giovedì 15</w:t>
      </w:r>
      <w:r>
        <w:rPr>
          <w:sz w:val="24"/>
          <w:szCs w:val="24"/>
        </w:rPr>
        <w:t xml:space="preserve"> febbraio 2018 e contestualmente consegnare l’autorizzazione debitamente compilata.</w:t>
      </w:r>
    </w:p>
    <w:p w:rsidR="00D450ED" w:rsidRDefault="00D450ED" w:rsidP="00D450ED">
      <w:pPr>
        <w:pStyle w:val="Default"/>
      </w:pPr>
    </w:p>
    <w:p w:rsidR="00D450ED" w:rsidRDefault="00D450ED" w:rsidP="00D450E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Monte dei Paschi di Siena Agenzia –Sede Napoli </w:t>
      </w:r>
    </w:p>
    <w:p w:rsidR="00D450ED" w:rsidRDefault="00D450ED" w:rsidP="00D450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Via Cervantes de Saavedra M., 55, - 80133 Napoli </w:t>
      </w:r>
    </w:p>
    <w:p w:rsidR="00D450ED" w:rsidRDefault="00D450ED" w:rsidP="00D450ED">
      <w:pPr>
        <w:rPr>
          <w:sz w:val="24"/>
          <w:szCs w:val="24"/>
        </w:rPr>
      </w:pPr>
      <w:r>
        <w:rPr>
          <w:b/>
          <w:bCs/>
          <w:sz w:val="23"/>
          <w:szCs w:val="23"/>
        </w:rPr>
        <w:t>IBAN : IT76 A010 3003 4000 0000 7051 048</w:t>
      </w:r>
    </w:p>
    <w:p w:rsidR="00120651" w:rsidRDefault="00120651" w:rsidP="00120651">
      <w:pPr>
        <w:rPr>
          <w:sz w:val="24"/>
          <w:szCs w:val="24"/>
        </w:rPr>
      </w:pPr>
      <w:r w:rsidRPr="00EA6787">
        <w:rPr>
          <w:b/>
          <w:sz w:val="24"/>
          <w:szCs w:val="24"/>
        </w:rPr>
        <w:t>Intestato a Liceo G. B. Vico Napoli</w:t>
      </w:r>
    </w:p>
    <w:p w:rsidR="00120651" w:rsidRDefault="00120651" w:rsidP="00120651">
      <w:pPr>
        <w:rPr>
          <w:b/>
          <w:sz w:val="24"/>
          <w:szCs w:val="24"/>
        </w:rPr>
      </w:pPr>
    </w:p>
    <w:p w:rsidR="00120651" w:rsidRPr="00EA6787" w:rsidRDefault="00120651" w:rsidP="00120651">
      <w:pPr>
        <w:rPr>
          <w:b/>
          <w:sz w:val="24"/>
          <w:szCs w:val="24"/>
        </w:rPr>
      </w:pPr>
      <w:r w:rsidRPr="00EA6787">
        <w:rPr>
          <w:b/>
          <w:sz w:val="24"/>
          <w:szCs w:val="24"/>
        </w:rPr>
        <w:t>Oppure</w:t>
      </w:r>
    </w:p>
    <w:p w:rsidR="00120651" w:rsidRPr="00EA6787" w:rsidRDefault="00120651" w:rsidP="00120651">
      <w:pPr>
        <w:rPr>
          <w:b/>
          <w:sz w:val="24"/>
          <w:szCs w:val="24"/>
        </w:rPr>
      </w:pPr>
    </w:p>
    <w:p w:rsidR="00D450ED" w:rsidRDefault="00120651" w:rsidP="00120651">
      <w:pPr>
        <w:rPr>
          <w:sz w:val="24"/>
          <w:szCs w:val="24"/>
        </w:rPr>
      </w:pPr>
      <w:r w:rsidRPr="00EA6787">
        <w:rPr>
          <w:b/>
          <w:sz w:val="24"/>
          <w:szCs w:val="24"/>
        </w:rPr>
        <w:t>C/CP 18313809 Intestato a Liceo G. B. Vico Napoli</w:t>
      </w:r>
    </w:p>
    <w:p w:rsidR="00120651" w:rsidRDefault="00120651" w:rsidP="00C736CB">
      <w:pPr>
        <w:jc w:val="both"/>
        <w:rPr>
          <w:b/>
          <w:sz w:val="36"/>
          <w:szCs w:val="36"/>
          <w:u w:val="single"/>
        </w:rPr>
      </w:pPr>
    </w:p>
    <w:p w:rsidR="00D450ED" w:rsidRPr="002B2AF4" w:rsidRDefault="00D450ED" w:rsidP="00C736CB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Quota di Partecipazione 49</w:t>
      </w:r>
      <w:r w:rsidRPr="002B2AF4">
        <w:rPr>
          <w:b/>
          <w:sz w:val="36"/>
          <w:szCs w:val="36"/>
          <w:u w:val="single"/>
        </w:rPr>
        <w:t>5,00</w:t>
      </w:r>
      <w:r w:rsidR="00C736CB">
        <w:rPr>
          <w:b/>
          <w:sz w:val="36"/>
          <w:szCs w:val="36"/>
          <w:u w:val="single"/>
        </w:rPr>
        <w:t xml:space="preserve"> da versare solo il saldo di: 345,00</w:t>
      </w:r>
    </w:p>
    <w:p w:rsidR="00D450ED" w:rsidRDefault="00D450ED" w:rsidP="00D450ED">
      <w:pPr>
        <w:rPr>
          <w:sz w:val="24"/>
          <w:szCs w:val="24"/>
        </w:rPr>
      </w:pPr>
    </w:p>
    <w:p w:rsidR="00D450ED" w:rsidRDefault="00D450ED" w:rsidP="00D450ED">
      <w:pPr>
        <w:rPr>
          <w:sz w:val="24"/>
          <w:szCs w:val="24"/>
        </w:rPr>
      </w:pPr>
      <w:r>
        <w:rPr>
          <w:sz w:val="24"/>
          <w:szCs w:val="24"/>
        </w:rPr>
        <w:t>Ritirare l’autorizzazione al primo piano oppure scaricarla dal sito della scuola</w:t>
      </w:r>
    </w:p>
    <w:p w:rsidR="00D450ED" w:rsidRDefault="00D450ED" w:rsidP="006155F0">
      <w:pPr>
        <w:spacing w:line="360" w:lineRule="auto"/>
        <w:rPr>
          <w:sz w:val="24"/>
          <w:szCs w:val="24"/>
        </w:rPr>
      </w:pPr>
    </w:p>
    <w:p w:rsidR="00120651" w:rsidRPr="00120651" w:rsidRDefault="00120651" w:rsidP="00120651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 w:rsidRPr="00120651">
        <w:rPr>
          <w:rFonts w:ascii="Calibri" w:hAnsi="Calibri"/>
          <w:b/>
          <w:bCs/>
          <w:color w:val="000000"/>
          <w:sz w:val="22"/>
          <w:szCs w:val="22"/>
        </w:rPr>
        <w:t>– dal 27/02/2018 al 03/03/2018 – voli diretti Ryanair – operativo voli attualmente disponibile, soggetto a riconferma al momento dell’acquisto dei biglietti aerei</w:t>
      </w:r>
    </w:p>
    <w:p w:rsidR="00120651" w:rsidRPr="00120651" w:rsidRDefault="00120651" w:rsidP="00120651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 w:rsidRPr="00120651">
        <w:rPr>
          <w:rFonts w:ascii="Calibri" w:hAnsi="Calibri"/>
          <w:color w:val="000000"/>
          <w:sz w:val="22"/>
          <w:szCs w:val="22"/>
        </w:rPr>
        <w:t>27/02/2018 Napoli/Cracovia VOLO FR 4045 partenza ore 16h25 – arrivo ore 18h25</w:t>
      </w:r>
    </w:p>
    <w:p w:rsidR="00D450ED" w:rsidRPr="00120651" w:rsidRDefault="00120651" w:rsidP="00120651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 w:rsidRPr="00120651">
        <w:rPr>
          <w:rFonts w:ascii="Calibri" w:hAnsi="Calibri"/>
          <w:color w:val="000000"/>
          <w:sz w:val="22"/>
          <w:szCs w:val="22"/>
        </w:rPr>
        <w:t>03/03/2018 Cracovia/Napoli VOLO FR 4046 partenza ore 18h50 – arrivo ore 20h50</w:t>
      </w:r>
    </w:p>
    <w:p w:rsidR="002B0D00" w:rsidRDefault="002B0D00" w:rsidP="006155F0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:rsidR="00D450ED" w:rsidRDefault="002B0D00" w:rsidP="006155F0">
      <w:pPr>
        <w:spacing w:line="360" w:lineRule="auto"/>
        <w:rPr>
          <w:sz w:val="24"/>
          <w:szCs w:val="24"/>
        </w:rPr>
      </w:pPr>
      <w:r>
        <w:rPr>
          <w:rFonts w:ascii="Calibri" w:hAnsi="Calibri"/>
          <w:color w:val="000000"/>
          <w:sz w:val="22"/>
          <w:szCs w:val="22"/>
        </w:rPr>
        <w:t xml:space="preserve">Soggiorno a Cracovia presso Hotel Best Western EFEKT – </w:t>
      </w:r>
      <w:proofErr w:type="spellStart"/>
      <w:r>
        <w:rPr>
          <w:rFonts w:ascii="Calibri" w:hAnsi="Calibri"/>
          <w:color w:val="000000"/>
          <w:sz w:val="22"/>
          <w:szCs w:val="22"/>
        </w:rPr>
        <w:t>cat</w:t>
      </w:r>
      <w:proofErr w:type="spellEnd"/>
      <w:r>
        <w:rPr>
          <w:rFonts w:ascii="Calibri" w:hAnsi="Calibri"/>
          <w:color w:val="000000"/>
          <w:sz w:val="22"/>
          <w:szCs w:val="22"/>
        </w:rPr>
        <w:t>. 4 stelle a Cracovia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1° GIORNO:                       NAPOLI – CRACOVIA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Incontro dei partecipanti presso l’aeroporto di Napoli. 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Disbrigo operazioni d’imbarco. Partenza per Cracovia con volo di linea diretti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lowcost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Easyjet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o Ryanair.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Arrivo all'aeroporto di Cracovia e operazioni di sbarco.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Trasferimento in pullman GT in albergo con assistente di lingua italiana. Pomeriggio dedicato alla visita di Cracovia in pullman GT e guida di lingua italiana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Interessante da vedere: </w:t>
      </w:r>
      <w:r>
        <w:rPr>
          <w:rFonts w:ascii="Calibri" w:hAnsi="Calibri"/>
          <w:b/>
          <w:bCs/>
          <w:color w:val="000000"/>
          <w:sz w:val="22"/>
          <w:szCs w:val="22"/>
        </w:rPr>
        <w:t>Piazza del Vecchio</w:t>
      </w:r>
      <w:r>
        <w:rPr>
          <w:rFonts w:ascii="Calibri" w:hAnsi="Calibri"/>
          <w:color w:val="000000"/>
          <w:sz w:val="22"/>
          <w:szCs w:val="22"/>
        </w:rPr>
        <w:t> (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La città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Vechia</w:t>
      </w:r>
      <w:proofErr w:type="spellEnd"/>
      <w:r>
        <w:rPr>
          <w:rFonts w:ascii="Calibri" w:hAnsi="Calibri"/>
          <w:color w:val="000000"/>
          <w:sz w:val="22"/>
          <w:szCs w:val="22"/>
        </w:rPr>
        <w:t>) mercato con i palazzi delle corporazioni, il mercato delle stoffe con le pittoresche botteghe.  Tra gli edifici civili spiccano il Mercato dei Tessuti, nel mezzo della piazza del Mercato e il complesso dell'università (</w:t>
      </w:r>
      <w:proofErr w:type="spellStart"/>
      <w:r>
        <w:rPr>
          <w:rFonts w:ascii="Calibri" w:hAnsi="Calibri"/>
          <w:color w:val="000000"/>
          <w:sz w:val="22"/>
          <w:szCs w:val="22"/>
        </w:rPr>
        <w:t>Collegium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Maius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), fondata da Casimiro il Grande nel 1364. Tra le collezioni pubbliche, importanti sono il Museo Nazionale (opere d'arte polacche e straniere), la raccolta statale del castello di Wawel (dipinti, mobili, arazzi, armi), il Museo dell'Università </w:t>
      </w:r>
      <w:proofErr w:type="spellStart"/>
      <w:r>
        <w:rPr>
          <w:rFonts w:ascii="Calibri" w:hAnsi="Calibri"/>
          <w:color w:val="000000"/>
          <w:sz w:val="22"/>
          <w:szCs w:val="22"/>
        </w:rPr>
        <w:t>Jagiellonski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(collezione di strumenti scientifici del sec. XV) e la Casa </w:t>
      </w:r>
      <w:proofErr w:type="spellStart"/>
      <w:r>
        <w:rPr>
          <w:rFonts w:ascii="Calibri" w:hAnsi="Calibri"/>
          <w:color w:val="000000"/>
          <w:sz w:val="22"/>
          <w:szCs w:val="22"/>
        </w:rPr>
        <w:t>Matejko</w:t>
      </w:r>
      <w:proofErr w:type="spellEnd"/>
      <w:r>
        <w:rPr>
          <w:rFonts w:ascii="Calibri" w:hAnsi="Calibri"/>
          <w:color w:val="000000"/>
          <w:sz w:val="22"/>
          <w:szCs w:val="22"/>
        </w:rPr>
        <w:t>, che raccoglie opere e cimeli di questo prolifico pittore ottocentesco e il Museo Archeologico. 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Arrivo in albergo, sistemazione nelle camere riservate</w:t>
      </w:r>
      <w:r>
        <w:rPr>
          <w:rFonts w:ascii="Calibri" w:hAnsi="Calibri"/>
          <w:color w:val="000000"/>
          <w:sz w:val="22"/>
          <w:szCs w:val="22"/>
        </w:rPr>
        <w:t>. </w:t>
      </w:r>
      <w:r>
        <w:rPr>
          <w:rFonts w:ascii="Calibri" w:hAnsi="Calibri"/>
          <w:b/>
          <w:bCs/>
          <w:color w:val="000000"/>
          <w:sz w:val="22"/>
          <w:szCs w:val="22"/>
        </w:rPr>
        <w:t>Cena e pernottamento.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2° GIORNO:                       CRACOVIA - WIELICZKA                                                             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Prima colazione in albergo.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Mattina: visita di Cracovia in pullman GT con guida di lingua italiana. </w:t>
      </w:r>
      <w:r>
        <w:rPr>
          <w:rFonts w:ascii="Calibri" w:hAnsi="Calibri"/>
          <w:color w:val="000000"/>
          <w:sz w:val="22"/>
          <w:szCs w:val="22"/>
        </w:rPr>
        <w:t xml:space="preserve">Il nucleo originario della città medievale si formò sulla collina di Wawel. Alla fine del sec. X venne eretta la prima chiesa preromanica in pietra, la rotonda dei Santi Felice e </w:t>
      </w:r>
      <w:proofErr w:type="spellStart"/>
      <w:r>
        <w:rPr>
          <w:rFonts w:ascii="Calibri" w:hAnsi="Calibri"/>
          <w:color w:val="000000"/>
          <w:sz w:val="22"/>
          <w:szCs w:val="22"/>
        </w:rPr>
        <w:t>Adautto</w:t>
      </w:r>
      <w:proofErr w:type="spellEnd"/>
      <w:r>
        <w:rPr>
          <w:rFonts w:ascii="Calibri" w:hAnsi="Calibri"/>
          <w:color w:val="000000"/>
          <w:sz w:val="22"/>
          <w:szCs w:val="22"/>
        </w:rPr>
        <w:t>, più tardi incorporata nel </w:t>
      </w:r>
      <w:r>
        <w:rPr>
          <w:rFonts w:ascii="Calibri" w:hAnsi="Calibri"/>
          <w:b/>
          <w:bCs/>
          <w:color w:val="000000"/>
          <w:sz w:val="22"/>
          <w:szCs w:val="22"/>
        </w:rPr>
        <w:t>castello (visita interna del Castello – ingresso incluso).</w:t>
      </w:r>
      <w:r>
        <w:rPr>
          <w:rFonts w:ascii="Calibri" w:hAnsi="Calibri"/>
          <w:color w:val="000000"/>
          <w:sz w:val="22"/>
          <w:szCs w:val="22"/>
        </w:rPr>
        <w:t> Nella prima metà del sec. XI furono costruiti la cattedrale e il castello. Nel 1040 diventò la capitale della Polonia e il borgo sorto sotto la collina di Wawel intorno alla piazza del Mercato si trasformò in città che, ricostruita nel 1257 su pianta regolare, fu circondata nel 1285 di mura e fortificazioni.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Visita del Museo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Czartoryski</w:t>
      </w:r>
      <w:proofErr w:type="spellEnd"/>
      <w:r>
        <w:rPr>
          <w:rFonts w:ascii="Calibri" w:hAnsi="Calibri"/>
          <w:color w:val="000000"/>
          <w:sz w:val="22"/>
          <w:szCs w:val="22"/>
        </w:rPr>
        <w:t>. </w:t>
      </w:r>
      <w:r>
        <w:rPr>
          <w:rFonts w:ascii="Calibri" w:hAnsi="Calibri"/>
          <w:b/>
          <w:bCs/>
          <w:color w:val="000000"/>
          <w:sz w:val="22"/>
          <w:szCs w:val="22"/>
        </w:rPr>
        <w:t>Pranzo in ristorante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Sistemazione in pullman GT e partenza per escursione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Wielicka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con guida di lingua italiana.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Al di sotto del suolo di </w:t>
      </w:r>
      <w:proofErr w:type="spellStart"/>
      <w:r>
        <w:rPr>
          <w:rFonts w:ascii="Calibri" w:hAnsi="Calibri"/>
          <w:color w:val="000000"/>
          <w:sz w:val="22"/>
          <w:szCs w:val="22"/>
        </w:rPr>
        <w:t>Wieliczka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sorge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8" w:tooltip="Miniera di sale di Wieliczka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una delle più antiche miniere di sale</w:t>
        </w:r>
      </w:hyperlink>
      <w:r>
        <w:rPr>
          <w:rFonts w:ascii="Calibri" w:hAnsi="Calibri"/>
          <w:color w:val="000000"/>
          <w:sz w:val="22"/>
          <w:szCs w:val="22"/>
        </w:rPr>
        <w:t> (</w:t>
      </w:r>
      <w:r>
        <w:rPr>
          <w:rFonts w:ascii="Calibri" w:hAnsi="Calibri"/>
          <w:b/>
          <w:bCs/>
          <w:color w:val="000000"/>
          <w:sz w:val="22"/>
          <w:szCs w:val="22"/>
        </w:rPr>
        <w:t>ingresso e prenotazione inclusa</w:t>
      </w:r>
      <w:r>
        <w:rPr>
          <w:rFonts w:ascii="Calibri" w:hAnsi="Calibri"/>
          <w:color w:val="000000"/>
          <w:sz w:val="22"/>
          <w:szCs w:val="22"/>
        </w:rPr>
        <w:t>) operanti al mondo (la più antica si trova a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="00E326EE">
        <w:fldChar w:fldCharType="begin"/>
      </w:r>
      <w:r w:rsidR="00E326EE">
        <w:instrText xml:space="preserve"> HYPERLINK "https://it.wikipedia.org/wiki/Bochnia" \o "Bochnia" </w:instrText>
      </w:r>
      <w:r w:rsidR="00E326EE">
        <w:fldChar w:fldCharType="separate"/>
      </w:r>
      <w:r>
        <w:rPr>
          <w:rStyle w:val="Collegamentoipertestuale"/>
          <w:rFonts w:ascii="Calibri" w:hAnsi="Calibri"/>
          <w:color w:val="000000"/>
          <w:sz w:val="22"/>
          <w:szCs w:val="22"/>
        </w:rPr>
        <w:t>Bochnia</w:t>
      </w:r>
      <w:proofErr w:type="spellEnd"/>
      <w:r w:rsidR="00E326EE">
        <w:rPr>
          <w:rStyle w:val="Collegamentoipertestuale"/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t>, in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9" w:tooltip="Polonia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Polonia</w:t>
        </w:r>
      </w:hyperlink>
      <w:r>
        <w:rPr>
          <w:rFonts w:ascii="Calibri" w:hAnsi="Calibri"/>
          <w:color w:val="000000"/>
          <w:sz w:val="22"/>
          <w:szCs w:val="22"/>
        </w:rPr>
        <w:t xml:space="preserve">, a 20 km da </w:t>
      </w:r>
      <w:proofErr w:type="spellStart"/>
      <w:r>
        <w:rPr>
          <w:rFonts w:ascii="Calibri" w:hAnsi="Calibri"/>
          <w:color w:val="000000"/>
          <w:sz w:val="22"/>
          <w:szCs w:val="22"/>
        </w:rPr>
        <w:t>Wieliczka</w:t>
      </w:r>
      <w:proofErr w:type="spellEnd"/>
      <w:r>
        <w:rPr>
          <w:rFonts w:ascii="Calibri" w:hAnsi="Calibri"/>
          <w:color w:val="000000"/>
          <w:sz w:val="22"/>
          <w:szCs w:val="22"/>
        </w:rPr>
        <w:t>), funzionante dal medioevo. La miniera è anche famosa per una lunga tradizione turistica: il sito, molto salutare, è stato visitato nei secoli da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0" w:tooltip="Niccolò Copernico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Niccolò Copernico</w:t>
        </w:r>
      </w:hyperlink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1" w:tooltip="Johann Wolfgang von Goethe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Johann Wolfgang von Goethe</w:t>
        </w:r>
      </w:hyperlink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2" w:tooltip="Alexander von Humboldt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 xml:space="preserve">Alexander von </w:t>
        </w:r>
        <w:proofErr w:type="spellStart"/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Humboldt</w:t>
        </w:r>
        <w:proofErr w:type="spellEnd"/>
      </w:hyperlink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="00E326EE">
        <w:fldChar w:fldCharType="begin"/>
      </w:r>
      <w:r w:rsidR="00E326EE">
        <w:instrText xml:space="preserve"> HYPERLINK "https://it.wikipedia.org/wiki/Dmitri_Mendeleev" \o "Dmitri Mendeleev"</w:instrText>
      </w:r>
      <w:r w:rsidR="00E326EE">
        <w:instrText xml:space="preserve"> </w:instrText>
      </w:r>
      <w:r w:rsidR="00E326EE">
        <w:fldChar w:fldCharType="separate"/>
      </w:r>
      <w:r>
        <w:rPr>
          <w:rStyle w:val="Collegamentoipertestuale"/>
          <w:rFonts w:ascii="Calibri" w:hAnsi="Calibri"/>
          <w:color w:val="000000"/>
          <w:sz w:val="22"/>
          <w:szCs w:val="22"/>
        </w:rPr>
        <w:t>Dmitri</w:t>
      </w:r>
      <w:proofErr w:type="spellEnd"/>
      <w:r>
        <w:rPr>
          <w:rStyle w:val="Collegamentoipertestuale"/>
          <w:rFonts w:ascii="Calibri" w:hAnsi="Calibri"/>
          <w:color w:val="000000"/>
          <w:sz w:val="22"/>
          <w:szCs w:val="22"/>
        </w:rPr>
        <w:t xml:space="preserve">  </w:t>
      </w:r>
      <w:proofErr w:type="spellStart"/>
      <w:r>
        <w:rPr>
          <w:rStyle w:val="Collegamentoipertestuale"/>
          <w:rFonts w:ascii="Calibri" w:hAnsi="Calibri"/>
          <w:color w:val="000000"/>
          <w:sz w:val="22"/>
          <w:szCs w:val="22"/>
        </w:rPr>
        <w:t>Mendeleev</w:t>
      </w:r>
      <w:proofErr w:type="spellEnd"/>
      <w:r w:rsidR="00E326EE">
        <w:rPr>
          <w:rStyle w:val="Collegamentoipertestuale"/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="00E326EE">
        <w:fldChar w:fldCharType="begin"/>
      </w:r>
      <w:r w:rsidR="00E326EE">
        <w:instrText xml:space="preserve"> HYPERLINK "https://it.wikipedia.org/wiki/Boleslaw_Prus" \o "Boleslaw Prus" </w:instrText>
      </w:r>
      <w:r w:rsidR="00E326EE">
        <w:fldChar w:fldCharType="separate"/>
      </w:r>
      <w:r>
        <w:rPr>
          <w:rStyle w:val="Collegamentoipertestuale"/>
          <w:rFonts w:ascii="Calibri" w:hAnsi="Calibri"/>
          <w:color w:val="000000"/>
          <w:sz w:val="22"/>
          <w:szCs w:val="22"/>
        </w:rPr>
        <w:t>Bolesław</w:t>
      </w:r>
      <w:proofErr w:type="spellEnd"/>
      <w:r>
        <w:rPr>
          <w:rStyle w:val="Collegamentoipertestuale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Style w:val="Collegamentoipertestuale"/>
          <w:rFonts w:ascii="Calibri" w:hAnsi="Calibri"/>
          <w:color w:val="000000"/>
          <w:sz w:val="22"/>
          <w:szCs w:val="22"/>
        </w:rPr>
        <w:t>Prus</w:t>
      </w:r>
      <w:r w:rsidR="00E326EE">
        <w:rPr>
          <w:rStyle w:val="Collegamentoipertestuale"/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t>,</w:t>
      </w:r>
      <w:hyperlink r:id="rId13" w:tooltip="Ignacy Paderewski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Ignacy</w:t>
        </w:r>
        <w:proofErr w:type="spellEnd"/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Paderewski</w:t>
        </w:r>
        <w:proofErr w:type="spellEnd"/>
      </w:hyperlink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4" w:tooltip="Robert Baden-Powell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Robert Baden-Powell</w:t>
        </w:r>
      </w:hyperlink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5" w:tooltip="Papa Giovanni Paolo II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 xml:space="preserve">Karol </w:t>
        </w:r>
        <w:proofErr w:type="spellStart"/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Wojtyła</w:t>
        </w:r>
        <w:proofErr w:type="spellEnd"/>
      </w:hyperlink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(futuro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6" w:tooltip="Papa Giovanni Paolo II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Papa Giovanni Paolo II</w:t>
        </w:r>
      </w:hyperlink>
      <w:r>
        <w:rPr>
          <w:rFonts w:ascii="Calibri" w:hAnsi="Calibri"/>
          <w:color w:val="000000"/>
          <w:sz w:val="22"/>
          <w:szCs w:val="22"/>
        </w:rPr>
        <w:t>), teste coronate e gente comune. Durante la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7" w:tooltip="Seconda guerra mondiale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Seconda guerra mondiale</w:t>
        </w:r>
      </w:hyperlink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la miniera era usata dagli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8" w:tooltip="Germania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occupanti</w:t>
        </w:r>
      </w:hyperlink>
      <w:r>
        <w:rPr>
          <w:rFonts w:ascii="Calibri" w:hAnsi="Calibri"/>
          <w:color w:val="000000"/>
          <w:sz w:val="22"/>
          <w:szCs w:val="22"/>
        </w:rPr>
        <w:t> come sito per la produzione di piani bellici. Nel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19" w:tooltip="1978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1978</w:t>
        </w:r>
      </w:hyperlink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la miniera di sale di </w:t>
      </w:r>
      <w:proofErr w:type="spellStart"/>
      <w:r>
        <w:rPr>
          <w:rFonts w:ascii="Calibri" w:hAnsi="Calibri"/>
          <w:color w:val="000000"/>
          <w:sz w:val="22"/>
          <w:szCs w:val="22"/>
        </w:rPr>
        <w:t>Wieliczka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entrò nella lista dell'</w:t>
      </w:r>
      <w:hyperlink r:id="rId20" w:tooltip="UNESCO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UNESCO</w:t>
        </w:r>
      </w:hyperlink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come </w:t>
      </w:r>
      <w:hyperlink r:id="rId21" w:tooltip="Patrimonio dell'umanità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Patrimonio dell'umanità</w:t>
        </w:r>
      </w:hyperlink>
      <w:r>
        <w:rPr>
          <w:rFonts w:ascii="Calibri" w:hAnsi="Calibri"/>
          <w:color w:val="000000"/>
          <w:sz w:val="22"/>
          <w:szCs w:val="22"/>
        </w:rPr>
        <w:t>. La miniera forma una città sotterranea, con chiese (</w:t>
      </w:r>
      <w:hyperlink r:id="rId22" w:tooltip="Kinga di Polonia" w:history="1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 xml:space="preserve">Santa </w:t>
        </w:r>
        <w:proofErr w:type="spellStart"/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Kinga</w:t>
        </w:r>
        <w:proofErr w:type="spellEnd"/>
      </w:hyperlink>
      <w:r>
        <w:rPr>
          <w:rFonts w:ascii="Calibri" w:hAnsi="Calibri"/>
          <w:color w:val="000000"/>
          <w:sz w:val="22"/>
          <w:szCs w:val="22"/>
        </w:rPr>
        <w:t>, la più grande chiesa sotterranea al mondo), laghi e tunnel.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Rientro in albergo. Cena e pernottamento.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3° GIORNO:                       AUSCHWITZ / BIRKENAU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Prima colazione in albergo.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Sistemazione in pullman GT e partenza per escursione ad Auschwitz/Birkenau con guida di lingua italiana ed auricolari inclusi (ingresso e prenotazione incluso).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Auschwitz è il nome tedesco con cui è tristemente nota la cittadina polacca di </w:t>
      </w:r>
      <w:proofErr w:type="spellStart"/>
      <w:r>
        <w:rPr>
          <w:rFonts w:ascii="Calibri" w:hAnsi="Calibri"/>
          <w:color w:val="000000"/>
          <w:sz w:val="22"/>
          <w:szCs w:val="22"/>
        </w:rPr>
        <w:t>Oswiecim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durante il secondo conflitto mondiale i nazisti vi ricavarono un campo di deportazione ripartito in Auschwitz I, il campo principale; Auschwitz II, presso il villaggio di Birkenau; e Auschwitz III, a </w:t>
      </w:r>
      <w:proofErr w:type="spellStart"/>
      <w:r>
        <w:rPr>
          <w:rFonts w:ascii="Calibri" w:hAnsi="Calibri"/>
          <w:color w:val="000000"/>
          <w:sz w:val="22"/>
          <w:szCs w:val="22"/>
        </w:rPr>
        <w:t>Monowitz</w:t>
      </w:r>
      <w:proofErr w:type="spellEnd"/>
      <w:r>
        <w:rPr>
          <w:rFonts w:ascii="Calibri" w:hAnsi="Calibri"/>
          <w:color w:val="000000"/>
          <w:sz w:val="22"/>
          <w:szCs w:val="22"/>
        </w:rPr>
        <w:t>. In questi luoghi, e in una quarantina di campi adiacenti, furono uccisi circa 4 milioni di prigionieri, soprattutto ebrei. Qui, più che in altri campi di sterminio, Hitler e le SS tentarono di realizzare il progetto relativo alla "soluzione finale del problema ebraico": i mezzi per conseguire il genocidio sono tragicamente esemplati dalle camere a gas e dai forni crematori, razionali fabbriche di morte.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Pranzo in ristorante in corso di escursione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Rientro a Cracovia, trasferimento in albergo</w:t>
      </w:r>
      <w:r>
        <w:rPr>
          <w:rFonts w:ascii="Calibri" w:hAnsi="Calibri"/>
          <w:color w:val="000000"/>
          <w:sz w:val="22"/>
          <w:szCs w:val="22"/>
        </w:rPr>
        <w:t>. </w:t>
      </w:r>
      <w:r>
        <w:rPr>
          <w:rFonts w:ascii="Calibri" w:hAnsi="Calibri"/>
          <w:b/>
          <w:bCs/>
          <w:color w:val="000000"/>
          <w:sz w:val="22"/>
          <w:szCs w:val="22"/>
        </w:rPr>
        <w:t>Cena e pernottamento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4° GIORNO:                       OJKOW – PARCO NAZIONALE </w:t>
      </w:r>
    </w:p>
    <w:p w:rsidR="00D450ED" w:rsidRDefault="00D450ED" w:rsidP="00D450E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Prima colazione in albergo.</w:t>
      </w:r>
    </w:p>
    <w:p w:rsidR="00D450ED" w:rsidRDefault="00D450ED" w:rsidP="00D450E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Sistemazione in pullman GT e partenza per escursione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Ojkow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con guida di lingua italiana</w:t>
      </w:r>
      <w:r>
        <w:rPr>
          <w:rStyle w:val="morecontent"/>
          <w:color w:val="000000"/>
          <w:sz w:val="22"/>
          <w:szCs w:val="22"/>
          <w:shd w:val="clear" w:color="auto" w:fill="FFFFFF"/>
        </w:rPr>
        <w:t>.</w:t>
      </w:r>
    </w:p>
    <w:p w:rsidR="00D450ED" w:rsidRDefault="00D450ED" w:rsidP="00D450E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r>
        <w:rPr>
          <w:rStyle w:val="morecontent"/>
          <w:color w:val="000000"/>
          <w:sz w:val="22"/>
          <w:szCs w:val="22"/>
          <w:shd w:val="clear" w:color="auto" w:fill="FFFFFF"/>
        </w:rPr>
        <w:t>O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jców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, piccolo ed antichissimo paese a circa 25 km da Cracovia, è posto all’interno dell’omonimo Parco Nazionale Naturale (fondato nel 1956) che, anche se il più piccolo dei 25 Parchi Naturali in Polonia, è considerato uno dei posti più belli nel Paese.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Nell’area del Parco Naturale si trovano due castelli che sicuramente vale la pena di visitare: il castello di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Pieskowa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Skała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ed il castello di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Ojców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 cui sono visitabili i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ruderi. Il castello di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Pieskowa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Skała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fu costruito per l’ordine del re polacco</w:t>
      </w:r>
      <w:r>
        <w:rPr>
          <w:rStyle w:val="apple-converted-spac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E326EE">
        <w:fldChar w:fldCharType="begin"/>
      </w:r>
      <w:r w:rsidR="00E326EE">
        <w:instrText xml:space="preserve"> HYPERLINK "http://en.wikipedia.org/wiki/Kazimierz_Wielki" \o "Kazimierz Wi</w:instrText>
      </w:r>
      <w:r w:rsidR="00E326EE">
        <w:instrText xml:space="preserve">elki" </w:instrText>
      </w:r>
      <w:r w:rsidR="00E326EE">
        <w:fldChar w:fldCharType="separate"/>
      </w:r>
      <w:r>
        <w:rPr>
          <w:rStyle w:val="Collegamentoipertestual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Kazimierz</w:t>
      </w:r>
      <w:proofErr w:type="spellEnd"/>
      <w:r>
        <w:rPr>
          <w:rStyle w:val="Collegamentoipertestual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Wielki</w:t>
      </w:r>
      <w:proofErr w:type="spellEnd"/>
      <w:r w:rsidR="00E326EE">
        <w:rPr>
          <w:rStyle w:val="Collegamentoipertestual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 Casimiro</w:t>
      </w:r>
      <w:r>
        <w:rPr>
          <w:rStyle w:val="apple-converted-spac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III il Grande </w:t>
      </w: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(ingresso ad un castello incluso)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D450ED" w:rsidRDefault="00D450ED" w:rsidP="00D450E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Pranzo in ristorante in corso di escursione. Rientro a Cracovia. </w:t>
      </w:r>
      <w:r>
        <w:rPr>
          <w:rStyle w:val="morecontent"/>
          <w:b/>
          <w:bCs/>
          <w:color w:val="000000"/>
          <w:sz w:val="22"/>
          <w:szCs w:val="22"/>
          <w:shd w:val="clear" w:color="auto" w:fill="FFFFFF"/>
        </w:rPr>
        <w:t> Pernottamento</w:t>
      </w:r>
      <w:r>
        <w:rPr>
          <w:rStyle w:val="morecontent"/>
          <w:color w:val="000000"/>
          <w:sz w:val="22"/>
          <w:szCs w:val="22"/>
          <w:shd w:val="clear" w:color="auto" w:fill="FFFFFF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5° GIORNO:                       CRACOVIA – NAPOLI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Prima colazione in albergo.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Sistemazione in pullman privato Gran Turismo e trasferimento all’aeroporto di Cracovia in pullman privato GT, con assistente di lingua italiana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Disbrigo delle operazioni di imbarco e 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partenza per Napoli con volo di linea diretto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lowcost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Easyjet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o Ryanair.</w:t>
      </w:r>
    </w:p>
    <w:p w:rsidR="00D450ED" w:rsidRDefault="00D450ED" w:rsidP="00D450E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Arrivo e operazioni di sbarco. Termine del viaggio e dei </w:t>
      </w:r>
      <w:proofErr w:type="spellStart"/>
      <w:r>
        <w:rPr>
          <w:rFonts w:ascii="Calibri" w:hAnsi="Calibri"/>
          <w:color w:val="000000"/>
          <w:sz w:val="22"/>
          <w:szCs w:val="22"/>
        </w:rPr>
        <w:t>nostriservizi</w:t>
      </w:r>
      <w:proofErr w:type="spellEnd"/>
      <w:r>
        <w:rPr>
          <w:rFonts w:ascii="Calibri" w:hAnsi="Calibri"/>
          <w:color w:val="000000"/>
          <w:sz w:val="22"/>
          <w:szCs w:val="22"/>
        </w:rPr>
        <w:t>.    </w:t>
      </w:r>
    </w:p>
    <w:p w:rsidR="00D450ED" w:rsidRDefault="00D450ED" w:rsidP="006155F0">
      <w:pPr>
        <w:spacing w:line="360" w:lineRule="auto"/>
        <w:rPr>
          <w:sz w:val="24"/>
          <w:szCs w:val="24"/>
        </w:rPr>
      </w:pPr>
    </w:p>
    <w:p w:rsidR="00927062" w:rsidRDefault="00927062" w:rsidP="006155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Napoli, </w:t>
      </w:r>
    </w:p>
    <w:p w:rsidR="00927062" w:rsidRDefault="00927062" w:rsidP="0092706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927062" w:rsidRDefault="00927062" w:rsidP="0092706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Maria Clotilde </w:t>
      </w:r>
      <w:proofErr w:type="spellStart"/>
      <w:r>
        <w:rPr>
          <w:sz w:val="24"/>
          <w:szCs w:val="24"/>
        </w:rPr>
        <w:t>Paisio</w:t>
      </w:r>
      <w:proofErr w:type="spellEnd"/>
    </w:p>
    <w:bookmarkEnd w:id="0"/>
    <w:p w:rsidR="00927062" w:rsidRPr="006155F0" w:rsidRDefault="00927062" w:rsidP="006155F0">
      <w:pPr>
        <w:spacing w:line="360" w:lineRule="auto"/>
        <w:rPr>
          <w:sz w:val="24"/>
          <w:szCs w:val="24"/>
        </w:rPr>
      </w:pPr>
    </w:p>
    <w:sectPr w:rsidR="00927062" w:rsidRPr="006155F0" w:rsidSect="0057580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EE" w:rsidRDefault="00E326EE" w:rsidP="00B50A4C">
      <w:r>
        <w:separator/>
      </w:r>
    </w:p>
  </w:endnote>
  <w:endnote w:type="continuationSeparator" w:id="0">
    <w:p w:rsidR="00E326EE" w:rsidRDefault="00E326EE" w:rsidP="00B5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2" w:rsidRDefault="001569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4C" w:rsidRPr="00BE2619" w:rsidRDefault="00B50A4C" w:rsidP="00B50A4C">
    <w:pPr>
      <w:jc w:val="center"/>
      <w:rPr>
        <w:rFonts w:ascii="Book Antiqua" w:hAnsi="Book Antiqua" w:cs="Book Antiqua"/>
        <w:b/>
        <w:bCs/>
        <w:sz w:val="22"/>
        <w:szCs w:val="22"/>
      </w:rPr>
    </w:pPr>
    <w:r w:rsidRPr="00BE2619">
      <w:rPr>
        <w:rFonts w:ascii="Book Antiqua" w:hAnsi="Book Antiqua" w:cs="Book Antiqua"/>
        <w:b/>
        <w:bCs/>
        <w:sz w:val="22"/>
        <w:szCs w:val="22"/>
      </w:rPr>
      <w:t xml:space="preserve"> </w:t>
    </w:r>
    <w:r w:rsidR="00502D8F" w:rsidRPr="00BE2619">
      <w:rPr>
        <w:rFonts w:ascii="Book Antiqua" w:hAnsi="Book Antiqua" w:cs="Book Antiqua"/>
        <w:b/>
        <w:bCs/>
        <w:sz w:val="22"/>
        <w:szCs w:val="22"/>
      </w:rPr>
      <w:t>Via Salvator Rosa n.117 - 80136 - Napoli Tel. 081-544.86.52 – Fax 081-96.36.643</w:t>
    </w:r>
  </w:p>
  <w:p w:rsidR="00B50A4C" w:rsidRPr="00F621D0" w:rsidRDefault="009234AC" w:rsidP="00B50A4C">
    <w:pPr>
      <w:jc w:val="center"/>
    </w:pPr>
    <w:r w:rsidRPr="00F621D0">
      <w:rPr>
        <w:rFonts w:ascii="Book Antiqua" w:hAnsi="Book Antiqua" w:cs="Book Antiqua"/>
        <w:b/>
        <w:bCs/>
      </w:rPr>
      <w:t xml:space="preserve">sito web: </w:t>
    </w:r>
    <w:hyperlink r:id="rId1" w:history="1">
      <w:r w:rsidRPr="00F621D0">
        <w:rPr>
          <w:rStyle w:val="Collegamentoipertestuale"/>
          <w:rFonts w:ascii="Book Antiqua" w:hAnsi="Book Antiqua" w:cs="Book Antiqua"/>
          <w:b/>
          <w:bCs/>
        </w:rPr>
        <w:t>www.liceoviconapoli.it</w:t>
      </w:r>
    </w:hyperlink>
    <w:r w:rsidRPr="00F621D0">
      <w:rPr>
        <w:rFonts w:ascii="Book Antiqua" w:hAnsi="Book Antiqua" w:cs="Book Antiqua"/>
        <w:b/>
        <w:bCs/>
      </w:rPr>
      <w:t xml:space="preserve"> </w:t>
    </w:r>
    <w:r w:rsidR="00B50A4C" w:rsidRPr="00F621D0">
      <w:rPr>
        <w:rFonts w:ascii="Book Antiqua" w:hAnsi="Book Antiqua" w:cs="Book Antiqua"/>
        <w:b/>
        <w:bCs/>
      </w:rPr>
      <w:t xml:space="preserve">e-mail: </w:t>
    </w:r>
    <w:hyperlink r:id="rId2" w:history="1">
      <w:r w:rsidR="00F621D0" w:rsidRPr="00F621D0">
        <w:rPr>
          <w:rStyle w:val="Collegamentoipertestuale"/>
          <w:rFonts w:ascii="Book Antiqua" w:hAnsi="Book Antiqua" w:cs="Book Antiqua"/>
          <w:b/>
          <w:bCs/>
        </w:rPr>
        <w:t>napc09000v@istruzione.it</w:t>
      </w:r>
    </w:hyperlink>
    <w:r w:rsidR="001A28B7">
      <w:rPr>
        <w:rFonts w:ascii="Book Antiqua" w:hAnsi="Book Antiqua" w:cs="Book Antiqua"/>
        <w:b/>
        <w:bCs/>
      </w:rPr>
      <w:t>;</w:t>
    </w:r>
    <w:r w:rsidR="00B50A4C" w:rsidRPr="00F621D0">
      <w:rPr>
        <w:rFonts w:ascii="Book Antiqua" w:hAnsi="Book Antiqua" w:cs="Book Antiqua"/>
        <w:b/>
        <w:bCs/>
      </w:rPr>
      <w:t xml:space="preserve"> </w:t>
    </w:r>
    <w:hyperlink r:id="rId3" w:history="1">
      <w:r w:rsidR="00C722EE" w:rsidRPr="00F621D0">
        <w:rPr>
          <w:rStyle w:val="Collegamentoipertestuale"/>
          <w:rFonts w:ascii="Book Antiqua" w:hAnsi="Book Antiqua" w:cs="Book Antiqua"/>
          <w:b/>
          <w:bCs/>
        </w:rPr>
        <w:t>napc09000v@pec.istruzione.it</w:t>
      </w:r>
    </w:hyperlink>
    <w:r w:rsidR="00C722EE" w:rsidRPr="00F621D0">
      <w:rPr>
        <w:rFonts w:ascii="Book Antiqua" w:hAnsi="Book Antiqua" w:cs="Book Antiqua"/>
        <w:b/>
        <w:bCs/>
      </w:rPr>
      <w:t xml:space="preserve"> </w:t>
    </w:r>
    <w:r w:rsidR="00B50A4C" w:rsidRPr="00F621D0">
      <w:rPr>
        <w:rFonts w:ascii="Book Antiqua" w:hAnsi="Book Antiqua" w:cs="Book Antiqua"/>
        <w:b/>
        <w:bCs/>
      </w:rPr>
      <w:t xml:space="preserve"> </w:t>
    </w:r>
  </w:p>
  <w:p w:rsidR="00B50A4C" w:rsidRDefault="00B50A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2" w:rsidRDefault="00156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EE" w:rsidRDefault="00E326EE" w:rsidP="00B50A4C">
      <w:r>
        <w:separator/>
      </w:r>
    </w:p>
  </w:footnote>
  <w:footnote w:type="continuationSeparator" w:id="0">
    <w:p w:rsidR="00E326EE" w:rsidRDefault="00E326EE" w:rsidP="00B5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2" w:rsidRDefault="001569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38" w:rsidRDefault="00025938" w:rsidP="007811CD">
    <w:pPr>
      <w:tabs>
        <w:tab w:val="left" w:pos="225"/>
        <w:tab w:val="center" w:pos="4819"/>
      </w:tabs>
      <w:rPr>
        <w:rFonts w:ascii="Garamond" w:hAnsi="Garamond" w:cs="Garamond"/>
      </w:rPr>
    </w:pPr>
  </w:p>
  <w:p w:rsidR="00025938" w:rsidRDefault="00025938" w:rsidP="007811CD">
    <w:pPr>
      <w:tabs>
        <w:tab w:val="left" w:pos="225"/>
        <w:tab w:val="center" w:pos="4819"/>
      </w:tabs>
      <w:rPr>
        <w:rFonts w:ascii="Garamond" w:hAnsi="Garamond" w:cs="Garamond"/>
      </w:rPr>
    </w:pPr>
  </w:p>
  <w:tbl>
    <w:tblPr>
      <w:tblW w:w="9816" w:type="dxa"/>
      <w:tblInd w:w="-176" w:type="dxa"/>
      <w:tblLayout w:type="fixed"/>
      <w:tblLook w:val="00A0" w:firstRow="1" w:lastRow="0" w:firstColumn="1" w:lastColumn="0" w:noHBand="0" w:noVBand="0"/>
    </w:tblPr>
    <w:tblGrid>
      <w:gridCol w:w="2518"/>
      <w:gridCol w:w="4570"/>
      <w:gridCol w:w="2728"/>
    </w:tblGrid>
    <w:tr w:rsidR="00025938" w:rsidRPr="00945F3F">
      <w:tc>
        <w:tcPr>
          <w:tcW w:w="2518" w:type="dxa"/>
        </w:tcPr>
        <w:p w:rsidR="009234AC" w:rsidRDefault="009234AC" w:rsidP="00945F3F">
          <w:pPr>
            <w:tabs>
              <w:tab w:val="left" w:pos="225"/>
              <w:tab w:val="center" w:pos="4819"/>
            </w:tabs>
            <w:jc w:val="center"/>
          </w:pPr>
        </w:p>
        <w:p w:rsidR="00025938" w:rsidRDefault="001F72DA" w:rsidP="00CD72AF">
          <w:pPr>
            <w:tabs>
              <w:tab w:val="left" w:pos="225"/>
              <w:tab w:val="center" w:pos="4819"/>
            </w:tabs>
            <w:jc w:val="center"/>
          </w:pPr>
          <w:r>
            <w:rPr>
              <w:rFonts w:ascii="Garamond" w:hAnsi="Garamond" w:cs="Garamond"/>
              <w:noProof/>
            </w:rPr>
            <w:drawing>
              <wp:inline distT="0" distB="0" distL="0" distR="0">
                <wp:extent cx="590550" cy="6858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62320" w:rsidRDefault="00762320" w:rsidP="00CD72AF">
          <w:pPr>
            <w:tabs>
              <w:tab w:val="left" w:pos="225"/>
              <w:tab w:val="center" w:pos="4819"/>
            </w:tabs>
            <w:jc w:val="center"/>
          </w:pPr>
        </w:p>
        <w:p w:rsidR="009234AC" w:rsidRDefault="00710C6A" w:rsidP="00CD72AF">
          <w:pPr>
            <w:tabs>
              <w:tab w:val="left" w:pos="225"/>
              <w:tab w:val="center" w:pos="4819"/>
            </w:tabs>
            <w:jc w:val="center"/>
          </w:pPr>
          <w:r>
            <w:t>M.I.U.R.</w:t>
          </w:r>
        </w:p>
        <w:p w:rsidR="00025938" w:rsidRPr="00945F3F" w:rsidRDefault="00025938" w:rsidP="00945F3F">
          <w:pPr>
            <w:tabs>
              <w:tab w:val="left" w:pos="225"/>
              <w:tab w:val="center" w:pos="4819"/>
            </w:tabs>
            <w:jc w:val="center"/>
            <w:rPr>
              <w:rFonts w:ascii="Garamond" w:hAnsi="Garamond" w:cs="Garamond"/>
            </w:rPr>
          </w:pPr>
        </w:p>
      </w:tc>
      <w:tc>
        <w:tcPr>
          <w:tcW w:w="4570" w:type="dxa"/>
        </w:tcPr>
        <w:p w:rsidR="00025938" w:rsidRPr="00945F3F" w:rsidRDefault="00D677EC" w:rsidP="00945F3F">
          <w:pPr>
            <w:tabs>
              <w:tab w:val="left" w:pos="225"/>
              <w:tab w:val="center" w:pos="4819"/>
            </w:tabs>
            <w:rPr>
              <w:rFonts w:ascii="Garamond" w:hAnsi="Garamond" w:cs="Garamond"/>
              <w:sz w:val="24"/>
              <w:szCs w:val="24"/>
            </w:rPr>
          </w:pPr>
          <w:r w:rsidRPr="00945F3F">
            <w:rPr>
              <w:rFonts w:ascii="Garamond" w:hAnsi="Garamond" w:cs="Garamond"/>
            </w:rPr>
            <w:t xml:space="preserve">         </w:t>
          </w:r>
          <w:r w:rsidR="0097105C" w:rsidRPr="00945F3F">
            <w:rPr>
              <w:rFonts w:ascii="Garamond" w:hAnsi="Garamond" w:cs="Garamond"/>
            </w:rPr>
            <w:t xml:space="preserve">    </w:t>
          </w:r>
        </w:p>
        <w:p w:rsidR="00025938" w:rsidRPr="00945F3F" w:rsidRDefault="00025938" w:rsidP="00945F3F">
          <w:pPr>
            <w:tabs>
              <w:tab w:val="left" w:pos="225"/>
              <w:tab w:val="center" w:pos="4819"/>
            </w:tabs>
            <w:jc w:val="center"/>
            <w:rPr>
              <w:rFonts w:ascii="Garamond" w:hAnsi="Garamond" w:cs="Garamond"/>
            </w:rPr>
          </w:pPr>
        </w:p>
        <w:p w:rsidR="00710C6A" w:rsidRPr="006E6740" w:rsidRDefault="00710C6A" w:rsidP="00710C6A">
          <w:pPr>
            <w:ind w:hanging="108"/>
            <w:jc w:val="center"/>
            <w:rPr>
              <w:rFonts w:ascii="Book Antiqua" w:hAnsi="Book Antiqua" w:cs="Book Antiqua"/>
              <w:b/>
              <w:bCs/>
              <w:sz w:val="32"/>
              <w:szCs w:val="32"/>
            </w:rPr>
          </w:pPr>
          <w:r w:rsidRPr="006E6740">
            <w:rPr>
              <w:rFonts w:ascii="Book Antiqua" w:hAnsi="Book Antiqua" w:cs="Book Antiqua"/>
              <w:b/>
              <w:bCs/>
              <w:sz w:val="32"/>
              <w:szCs w:val="32"/>
            </w:rPr>
            <w:t>LICEO GINNASIO STATALE</w:t>
          </w:r>
        </w:p>
        <w:p w:rsidR="00710C6A" w:rsidRPr="00710C6A" w:rsidRDefault="00710C6A" w:rsidP="00710C6A">
          <w:pPr>
            <w:tabs>
              <w:tab w:val="left" w:pos="4305"/>
            </w:tabs>
            <w:jc w:val="center"/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</w:pPr>
          <w:r w:rsidRPr="00710C6A"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  <w:t>“G</w:t>
          </w:r>
          <w:r w:rsidR="00A855B8"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  <w:t xml:space="preserve">IAN </w:t>
          </w:r>
          <w:r w:rsidRPr="00710C6A"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  <w:t>B</w:t>
          </w:r>
          <w:r w:rsidR="00762320"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  <w:t>ATTISTA</w:t>
          </w:r>
          <w:r w:rsidRPr="00710C6A">
            <w:rPr>
              <w:rFonts w:ascii="Book Antiqua" w:hAnsi="Book Antiqua" w:cs="Book Antiqua"/>
              <w:b/>
              <w:bCs/>
              <w:i/>
              <w:iCs/>
              <w:sz w:val="36"/>
              <w:szCs w:val="36"/>
            </w:rPr>
            <w:t xml:space="preserve"> VICO”</w:t>
          </w:r>
        </w:p>
        <w:p w:rsidR="0097105C" w:rsidRPr="00710C6A" w:rsidRDefault="00710C6A" w:rsidP="00710C6A">
          <w:pPr>
            <w:tabs>
              <w:tab w:val="left" w:pos="225"/>
              <w:tab w:val="center" w:pos="4819"/>
            </w:tabs>
            <w:jc w:val="center"/>
            <w:rPr>
              <w:rFonts w:ascii="Garamond" w:hAnsi="Garamond" w:cs="Garamond"/>
              <w:sz w:val="22"/>
              <w:szCs w:val="22"/>
            </w:rPr>
          </w:pPr>
          <w:r w:rsidRPr="00710C6A">
            <w:rPr>
              <w:b/>
              <w:bCs/>
              <w:i/>
              <w:iCs/>
              <w:sz w:val="22"/>
              <w:szCs w:val="22"/>
            </w:rPr>
            <w:t>C.F. 80026400632 - C. M. NAPC09000V</w:t>
          </w:r>
        </w:p>
      </w:tc>
      <w:tc>
        <w:tcPr>
          <w:tcW w:w="2728" w:type="dxa"/>
        </w:tcPr>
        <w:p w:rsidR="0097105C" w:rsidRPr="00945F3F" w:rsidRDefault="0097105C" w:rsidP="00945F3F">
          <w:pPr>
            <w:ind w:hanging="108"/>
            <w:jc w:val="center"/>
            <w:rPr>
              <w:rFonts w:ascii="Book Antiqua" w:hAnsi="Book Antiqua" w:cs="Book Antiqua"/>
              <w:b/>
              <w:bCs/>
              <w:i/>
              <w:iCs/>
              <w:sz w:val="24"/>
              <w:szCs w:val="24"/>
            </w:rPr>
          </w:pPr>
        </w:p>
        <w:p w:rsidR="00762320" w:rsidRDefault="001F72DA" w:rsidP="0076232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23950" cy="628650"/>
                <wp:effectExtent l="19050" t="0" r="0" b="0"/>
                <wp:docPr id="2" name="Immagine 2" descr="http://www.fondosocialeuropeo.it/flg_e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fondosocialeuropeo.it/flg_e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0C6A" w:rsidRDefault="00710C6A" w:rsidP="00945F3F">
          <w:pPr>
            <w:ind w:hanging="108"/>
            <w:jc w:val="center"/>
          </w:pPr>
        </w:p>
        <w:p w:rsidR="00710C6A" w:rsidRPr="00762320" w:rsidRDefault="00710C6A" w:rsidP="00710C6A">
          <w:pPr>
            <w:tabs>
              <w:tab w:val="left" w:pos="225"/>
              <w:tab w:val="center" w:pos="4819"/>
            </w:tabs>
            <w:jc w:val="center"/>
          </w:pPr>
          <w:r w:rsidRPr="00762320">
            <w:t>UNIONE EUROPEA</w:t>
          </w:r>
        </w:p>
        <w:p w:rsidR="00025938" w:rsidRPr="00945F3F" w:rsidRDefault="00025938" w:rsidP="00945F3F">
          <w:pPr>
            <w:tabs>
              <w:tab w:val="left" w:pos="225"/>
              <w:tab w:val="center" w:pos="4819"/>
            </w:tabs>
            <w:jc w:val="center"/>
            <w:rPr>
              <w:rFonts w:ascii="Garamond" w:hAnsi="Garamond" w:cs="Garamond"/>
            </w:rPr>
          </w:pPr>
        </w:p>
      </w:tc>
    </w:tr>
  </w:tbl>
  <w:p w:rsidR="00133906" w:rsidRPr="00710C6A" w:rsidRDefault="00133906" w:rsidP="00710C6A">
    <w:pPr>
      <w:tabs>
        <w:tab w:val="left" w:pos="225"/>
        <w:tab w:val="center" w:pos="4819"/>
      </w:tabs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2" w:rsidRDefault="00156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957"/>
    <w:multiLevelType w:val="hybridMultilevel"/>
    <w:tmpl w:val="00E2380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965725"/>
    <w:multiLevelType w:val="hybridMultilevel"/>
    <w:tmpl w:val="BEC635C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82305F0"/>
    <w:multiLevelType w:val="hybridMultilevel"/>
    <w:tmpl w:val="0CC65F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435B6"/>
    <w:multiLevelType w:val="hybridMultilevel"/>
    <w:tmpl w:val="AF98FB04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A5706E9"/>
    <w:multiLevelType w:val="hybridMultilevel"/>
    <w:tmpl w:val="A036C7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D7CF8"/>
    <w:multiLevelType w:val="hybridMultilevel"/>
    <w:tmpl w:val="0E6A7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B32C1"/>
    <w:multiLevelType w:val="hybridMultilevel"/>
    <w:tmpl w:val="9CF4D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7B"/>
    <w:rsid w:val="00001F2B"/>
    <w:rsid w:val="00005AEF"/>
    <w:rsid w:val="00024D3F"/>
    <w:rsid w:val="00025938"/>
    <w:rsid w:val="0004385F"/>
    <w:rsid w:val="0006028A"/>
    <w:rsid w:val="00060D13"/>
    <w:rsid w:val="000731F5"/>
    <w:rsid w:val="00074B22"/>
    <w:rsid w:val="00085AAC"/>
    <w:rsid w:val="00093C73"/>
    <w:rsid w:val="000A2FDB"/>
    <w:rsid w:val="000B12E2"/>
    <w:rsid w:val="000B2768"/>
    <w:rsid w:val="000B674E"/>
    <w:rsid w:val="000C3676"/>
    <w:rsid w:val="000C613C"/>
    <w:rsid w:val="000E0A7B"/>
    <w:rsid w:val="000E2E01"/>
    <w:rsid w:val="000E7912"/>
    <w:rsid w:val="001033CE"/>
    <w:rsid w:val="00107496"/>
    <w:rsid w:val="001106E5"/>
    <w:rsid w:val="001124C2"/>
    <w:rsid w:val="00116B07"/>
    <w:rsid w:val="00120651"/>
    <w:rsid w:val="0012271E"/>
    <w:rsid w:val="00126463"/>
    <w:rsid w:val="00133906"/>
    <w:rsid w:val="00142C1A"/>
    <w:rsid w:val="001539D8"/>
    <w:rsid w:val="00154912"/>
    <w:rsid w:val="00156302"/>
    <w:rsid w:val="00156922"/>
    <w:rsid w:val="00163297"/>
    <w:rsid w:val="00165949"/>
    <w:rsid w:val="00181100"/>
    <w:rsid w:val="00182EE3"/>
    <w:rsid w:val="001A28B7"/>
    <w:rsid w:val="001E070B"/>
    <w:rsid w:val="001E1058"/>
    <w:rsid w:val="001E2BA7"/>
    <w:rsid w:val="001E5B3B"/>
    <w:rsid w:val="001E5C61"/>
    <w:rsid w:val="001E5FE4"/>
    <w:rsid w:val="001E735A"/>
    <w:rsid w:val="001F3E03"/>
    <w:rsid w:val="001F72DA"/>
    <w:rsid w:val="00205DF2"/>
    <w:rsid w:val="00206380"/>
    <w:rsid w:val="00210C3D"/>
    <w:rsid w:val="00226B5F"/>
    <w:rsid w:val="002456AB"/>
    <w:rsid w:val="00252768"/>
    <w:rsid w:val="002611AA"/>
    <w:rsid w:val="00262D5C"/>
    <w:rsid w:val="002739C2"/>
    <w:rsid w:val="002A45AF"/>
    <w:rsid w:val="002B0D00"/>
    <w:rsid w:val="002B4241"/>
    <w:rsid w:val="002C6EB5"/>
    <w:rsid w:val="002D0626"/>
    <w:rsid w:val="002E2EF0"/>
    <w:rsid w:val="00305DA2"/>
    <w:rsid w:val="003223A5"/>
    <w:rsid w:val="003256B8"/>
    <w:rsid w:val="00332D85"/>
    <w:rsid w:val="00335508"/>
    <w:rsid w:val="00337247"/>
    <w:rsid w:val="00345DAB"/>
    <w:rsid w:val="0035292A"/>
    <w:rsid w:val="003673B7"/>
    <w:rsid w:val="003722D7"/>
    <w:rsid w:val="00372B93"/>
    <w:rsid w:val="00374C9C"/>
    <w:rsid w:val="00383789"/>
    <w:rsid w:val="003A6668"/>
    <w:rsid w:val="003B4E62"/>
    <w:rsid w:val="003C1EDB"/>
    <w:rsid w:val="003C2D81"/>
    <w:rsid w:val="003F1FF2"/>
    <w:rsid w:val="0040470A"/>
    <w:rsid w:val="004169CD"/>
    <w:rsid w:val="00422CD8"/>
    <w:rsid w:val="00426E3C"/>
    <w:rsid w:val="00447D7F"/>
    <w:rsid w:val="0045164B"/>
    <w:rsid w:val="00451A40"/>
    <w:rsid w:val="0045427B"/>
    <w:rsid w:val="00455FC8"/>
    <w:rsid w:val="00463790"/>
    <w:rsid w:val="00477368"/>
    <w:rsid w:val="004813D2"/>
    <w:rsid w:val="00487714"/>
    <w:rsid w:val="00492106"/>
    <w:rsid w:val="00497263"/>
    <w:rsid w:val="004A6B21"/>
    <w:rsid w:val="004B439C"/>
    <w:rsid w:val="004C061B"/>
    <w:rsid w:val="004E1094"/>
    <w:rsid w:val="004F2750"/>
    <w:rsid w:val="004F5CE4"/>
    <w:rsid w:val="004F684B"/>
    <w:rsid w:val="00500534"/>
    <w:rsid w:val="00502D28"/>
    <w:rsid w:val="00502D8F"/>
    <w:rsid w:val="00507F8D"/>
    <w:rsid w:val="005215EF"/>
    <w:rsid w:val="0052734C"/>
    <w:rsid w:val="00535384"/>
    <w:rsid w:val="0054109F"/>
    <w:rsid w:val="00561D61"/>
    <w:rsid w:val="00564377"/>
    <w:rsid w:val="005674E8"/>
    <w:rsid w:val="005709E7"/>
    <w:rsid w:val="00575809"/>
    <w:rsid w:val="005A16DD"/>
    <w:rsid w:val="005A1A52"/>
    <w:rsid w:val="005A3E6A"/>
    <w:rsid w:val="005C4520"/>
    <w:rsid w:val="005C4673"/>
    <w:rsid w:val="005C519B"/>
    <w:rsid w:val="005C5A1A"/>
    <w:rsid w:val="005D6580"/>
    <w:rsid w:val="005E5342"/>
    <w:rsid w:val="005F0D0F"/>
    <w:rsid w:val="005F1144"/>
    <w:rsid w:val="00607D74"/>
    <w:rsid w:val="0061537E"/>
    <w:rsid w:val="006155F0"/>
    <w:rsid w:val="0062127A"/>
    <w:rsid w:val="006345D9"/>
    <w:rsid w:val="00653F6A"/>
    <w:rsid w:val="00665E5F"/>
    <w:rsid w:val="006704C6"/>
    <w:rsid w:val="00671056"/>
    <w:rsid w:val="00671800"/>
    <w:rsid w:val="00675439"/>
    <w:rsid w:val="00686E03"/>
    <w:rsid w:val="00687171"/>
    <w:rsid w:val="00696015"/>
    <w:rsid w:val="006B155D"/>
    <w:rsid w:val="006B40D1"/>
    <w:rsid w:val="006B4D39"/>
    <w:rsid w:val="006E335D"/>
    <w:rsid w:val="006E3BBB"/>
    <w:rsid w:val="006E6740"/>
    <w:rsid w:val="006F35E8"/>
    <w:rsid w:val="0070311F"/>
    <w:rsid w:val="00710C6A"/>
    <w:rsid w:val="007144C9"/>
    <w:rsid w:val="007174CE"/>
    <w:rsid w:val="00726D89"/>
    <w:rsid w:val="00727D64"/>
    <w:rsid w:val="00732559"/>
    <w:rsid w:val="007327E3"/>
    <w:rsid w:val="00733821"/>
    <w:rsid w:val="00737DAA"/>
    <w:rsid w:val="007414D9"/>
    <w:rsid w:val="007435FF"/>
    <w:rsid w:val="00762320"/>
    <w:rsid w:val="007625B5"/>
    <w:rsid w:val="00762A5A"/>
    <w:rsid w:val="007811CD"/>
    <w:rsid w:val="007950AB"/>
    <w:rsid w:val="007A540F"/>
    <w:rsid w:val="007A56F6"/>
    <w:rsid w:val="007A7431"/>
    <w:rsid w:val="007B0467"/>
    <w:rsid w:val="007B3402"/>
    <w:rsid w:val="007C300B"/>
    <w:rsid w:val="007C6AEA"/>
    <w:rsid w:val="007D0637"/>
    <w:rsid w:val="007E642E"/>
    <w:rsid w:val="0082420B"/>
    <w:rsid w:val="00826149"/>
    <w:rsid w:val="00826BD3"/>
    <w:rsid w:val="00843889"/>
    <w:rsid w:val="008441BD"/>
    <w:rsid w:val="00844DA4"/>
    <w:rsid w:val="00847959"/>
    <w:rsid w:val="00851B37"/>
    <w:rsid w:val="00856164"/>
    <w:rsid w:val="00861CC5"/>
    <w:rsid w:val="00875D6A"/>
    <w:rsid w:val="00895BA2"/>
    <w:rsid w:val="0089649E"/>
    <w:rsid w:val="008B342C"/>
    <w:rsid w:val="008B6714"/>
    <w:rsid w:val="008B68A2"/>
    <w:rsid w:val="008C23F5"/>
    <w:rsid w:val="008C60E3"/>
    <w:rsid w:val="008D6310"/>
    <w:rsid w:val="008D7FA8"/>
    <w:rsid w:val="009049E9"/>
    <w:rsid w:val="00905A69"/>
    <w:rsid w:val="00906806"/>
    <w:rsid w:val="009234AC"/>
    <w:rsid w:val="00924054"/>
    <w:rsid w:val="00927062"/>
    <w:rsid w:val="00932B9A"/>
    <w:rsid w:val="009369BA"/>
    <w:rsid w:val="00937B58"/>
    <w:rsid w:val="00945F3F"/>
    <w:rsid w:val="00946D36"/>
    <w:rsid w:val="0095060F"/>
    <w:rsid w:val="00956C95"/>
    <w:rsid w:val="0096136C"/>
    <w:rsid w:val="00961D90"/>
    <w:rsid w:val="0097105C"/>
    <w:rsid w:val="00973E08"/>
    <w:rsid w:val="00980DB8"/>
    <w:rsid w:val="00982BB2"/>
    <w:rsid w:val="00984BA4"/>
    <w:rsid w:val="009969EA"/>
    <w:rsid w:val="009B239B"/>
    <w:rsid w:val="009B69A3"/>
    <w:rsid w:val="009C7FA2"/>
    <w:rsid w:val="009D3CFF"/>
    <w:rsid w:val="009E0057"/>
    <w:rsid w:val="009E0464"/>
    <w:rsid w:val="00A13B05"/>
    <w:rsid w:val="00A24A19"/>
    <w:rsid w:val="00A254BB"/>
    <w:rsid w:val="00A5345E"/>
    <w:rsid w:val="00A62375"/>
    <w:rsid w:val="00A721CF"/>
    <w:rsid w:val="00A855B8"/>
    <w:rsid w:val="00A860D7"/>
    <w:rsid w:val="00AB4D53"/>
    <w:rsid w:val="00AC4825"/>
    <w:rsid w:val="00AC609C"/>
    <w:rsid w:val="00AC7BD1"/>
    <w:rsid w:val="00AD1D23"/>
    <w:rsid w:val="00AE4C8D"/>
    <w:rsid w:val="00AE50C5"/>
    <w:rsid w:val="00AF70EF"/>
    <w:rsid w:val="00B011F7"/>
    <w:rsid w:val="00B03166"/>
    <w:rsid w:val="00B20A6A"/>
    <w:rsid w:val="00B20F06"/>
    <w:rsid w:val="00B21404"/>
    <w:rsid w:val="00B227B4"/>
    <w:rsid w:val="00B32FCD"/>
    <w:rsid w:val="00B3351E"/>
    <w:rsid w:val="00B33BC7"/>
    <w:rsid w:val="00B448FC"/>
    <w:rsid w:val="00B50A4C"/>
    <w:rsid w:val="00B57435"/>
    <w:rsid w:val="00B60309"/>
    <w:rsid w:val="00B634E9"/>
    <w:rsid w:val="00B639C9"/>
    <w:rsid w:val="00B702F7"/>
    <w:rsid w:val="00B72A27"/>
    <w:rsid w:val="00B826DC"/>
    <w:rsid w:val="00B82DF1"/>
    <w:rsid w:val="00B93564"/>
    <w:rsid w:val="00B955D8"/>
    <w:rsid w:val="00BB11E7"/>
    <w:rsid w:val="00BD0432"/>
    <w:rsid w:val="00BD2F23"/>
    <w:rsid w:val="00BE1BC5"/>
    <w:rsid w:val="00BE2619"/>
    <w:rsid w:val="00BE7DBE"/>
    <w:rsid w:val="00BF1520"/>
    <w:rsid w:val="00BF5576"/>
    <w:rsid w:val="00BF7E88"/>
    <w:rsid w:val="00C00C79"/>
    <w:rsid w:val="00C02C9D"/>
    <w:rsid w:val="00C041F6"/>
    <w:rsid w:val="00C30388"/>
    <w:rsid w:val="00C31EE6"/>
    <w:rsid w:val="00C32F46"/>
    <w:rsid w:val="00C459E9"/>
    <w:rsid w:val="00C54FAA"/>
    <w:rsid w:val="00C56369"/>
    <w:rsid w:val="00C57379"/>
    <w:rsid w:val="00C61899"/>
    <w:rsid w:val="00C721AE"/>
    <w:rsid w:val="00C722EE"/>
    <w:rsid w:val="00C736CB"/>
    <w:rsid w:val="00C76C3E"/>
    <w:rsid w:val="00C81763"/>
    <w:rsid w:val="00C8352A"/>
    <w:rsid w:val="00C91A07"/>
    <w:rsid w:val="00C94BDB"/>
    <w:rsid w:val="00CA14B3"/>
    <w:rsid w:val="00CA649D"/>
    <w:rsid w:val="00CA7886"/>
    <w:rsid w:val="00CB7FAC"/>
    <w:rsid w:val="00CD594A"/>
    <w:rsid w:val="00CD5F61"/>
    <w:rsid w:val="00CD72AF"/>
    <w:rsid w:val="00CE400E"/>
    <w:rsid w:val="00CE7865"/>
    <w:rsid w:val="00CE7E8C"/>
    <w:rsid w:val="00CF1763"/>
    <w:rsid w:val="00D116D4"/>
    <w:rsid w:val="00D156A7"/>
    <w:rsid w:val="00D16C54"/>
    <w:rsid w:val="00D215C1"/>
    <w:rsid w:val="00D3049C"/>
    <w:rsid w:val="00D3752A"/>
    <w:rsid w:val="00D41D5D"/>
    <w:rsid w:val="00D450ED"/>
    <w:rsid w:val="00D453A7"/>
    <w:rsid w:val="00D45E4C"/>
    <w:rsid w:val="00D50D28"/>
    <w:rsid w:val="00D56827"/>
    <w:rsid w:val="00D65448"/>
    <w:rsid w:val="00D67724"/>
    <w:rsid w:val="00D677EC"/>
    <w:rsid w:val="00D67EF6"/>
    <w:rsid w:val="00DA11B6"/>
    <w:rsid w:val="00DC1B7D"/>
    <w:rsid w:val="00DD4CF7"/>
    <w:rsid w:val="00DE21C3"/>
    <w:rsid w:val="00DE4DC5"/>
    <w:rsid w:val="00DF3AEB"/>
    <w:rsid w:val="00E044C6"/>
    <w:rsid w:val="00E0552A"/>
    <w:rsid w:val="00E1435E"/>
    <w:rsid w:val="00E31F4D"/>
    <w:rsid w:val="00E326EE"/>
    <w:rsid w:val="00E51D29"/>
    <w:rsid w:val="00E52F63"/>
    <w:rsid w:val="00E6402F"/>
    <w:rsid w:val="00E75AC2"/>
    <w:rsid w:val="00E86879"/>
    <w:rsid w:val="00EB7D11"/>
    <w:rsid w:val="00ED5769"/>
    <w:rsid w:val="00EF083D"/>
    <w:rsid w:val="00F00832"/>
    <w:rsid w:val="00F0748D"/>
    <w:rsid w:val="00F14CEC"/>
    <w:rsid w:val="00F16C50"/>
    <w:rsid w:val="00F16FD3"/>
    <w:rsid w:val="00F313B3"/>
    <w:rsid w:val="00F318E5"/>
    <w:rsid w:val="00F339C4"/>
    <w:rsid w:val="00F372AE"/>
    <w:rsid w:val="00F4790A"/>
    <w:rsid w:val="00F47983"/>
    <w:rsid w:val="00F5536F"/>
    <w:rsid w:val="00F621D0"/>
    <w:rsid w:val="00F65C86"/>
    <w:rsid w:val="00F70867"/>
    <w:rsid w:val="00F70F26"/>
    <w:rsid w:val="00F71083"/>
    <w:rsid w:val="00FA04D5"/>
    <w:rsid w:val="00FA14CA"/>
    <w:rsid w:val="00FB3CAE"/>
    <w:rsid w:val="00FB759A"/>
    <w:rsid w:val="00FC5B7C"/>
    <w:rsid w:val="00FD703E"/>
    <w:rsid w:val="00FE14E5"/>
    <w:rsid w:val="00FE2A5D"/>
    <w:rsid w:val="00FE3695"/>
    <w:rsid w:val="00FF50B1"/>
    <w:rsid w:val="00FF5BD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26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4F2750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710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1632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1632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locked/>
    <w:rsid w:val="0016329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2750"/>
    <w:rPr>
      <w:rFonts w:ascii="Arial" w:hAnsi="Arial" w:cs="Arial"/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9"/>
    <w:semiHidden/>
    <w:locked/>
    <w:rsid w:val="009710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497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4972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uiPriority w:val="9"/>
    <w:semiHidden/>
    <w:locked/>
    <w:rsid w:val="00497263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497263"/>
  </w:style>
  <w:style w:type="character" w:customStyle="1" w:styleId="CorpotestoCarattere">
    <w:name w:val="Corpo testo Carattere"/>
    <w:link w:val="Corpotesto"/>
    <w:uiPriority w:val="99"/>
    <w:semiHidden/>
    <w:locked/>
    <w:rsid w:val="00497263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539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972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868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D65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uiPriority w:val="99"/>
    <w:qFormat/>
    <w:rsid w:val="005D6580"/>
    <w:rPr>
      <w:rFonts w:cs="Times New Roman"/>
      <w:b/>
      <w:bCs/>
    </w:rPr>
  </w:style>
  <w:style w:type="character" w:styleId="Enfasicorsivo">
    <w:name w:val="Emphasis"/>
    <w:uiPriority w:val="99"/>
    <w:qFormat/>
    <w:rsid w:val="005D6580"/>
    <w:rPr>
      <w:rFonts w:cs="Times New Roman"/>
      <w:i/>
      <w:iCs/>
    </w:rPr>
  </w:style>
  <w:style w:type="character" w:styleId="Collegamentoipertestuale">
    <w:name w:val="Hyperlink"/>
    <w:uiPriority w:val="99"/>
    <w:rsid w:val="00B50A4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50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50A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50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50A4C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7811C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7811CD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450ED"/>
  </w:style>
  <w:style w:type="character" w:customStyle="1" w:styleId="morecontent">
    <w:name w:val="morecontent"/>
    <w:basedOn w:val="Carpredefinitoparagrafo"/>
    <w:rsid w:val="00D450ED"/>
  </w:style>
  <w:style w:type="paragraph" w:customStyle="1" w:styleId="Default">
    <w:name w:val="Default"/>
    <w:rsid w:val="00D450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26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4F2750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710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1632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1632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locked/>
    <w:rsid w:val="0016329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2750"/>
    <w:rPr>
      <w:rFonts w:ascii="Arial" w:hAnsi="Arial" w:cs="Arial"/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9"/>
    <w:semiHidden/>
    <w:locked/>
    <w:rsid w:val="009710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497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4972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uiPriority w:val="9"/>
    <w:semiHidden/>
    <w:locked/>
    <w:rsid w:val="00497263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497263"/>
  </w:style>
  <w:style w:type="character" w:customStyle="1" w:styleId="CorpotestoCarattere">
    <w:name w:val="Corpo testo Carattere"/>
    <w:link w:val="Corpotesto"/>
    <w:uiPriority w:val="99"/>
    <w:semiHidden/>
    <w:locked/>
    <w:rsid w:val="00497263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539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972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868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D65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uiPriority w:val="99"/>
    <w:qFormat/>
    <w:rsid w:val="005D6580"/>
    <w:rPr>
      <w:rFonts w:cs="Times New Roman"/>
      <w:b/>
      <w:bCs/>
    </w:rPr>
  </w:style>
  <w:style w:type="character" w:styleId="Enfasicorsivo">
    <w:name w:val="Emphasis"/>
    <w:uiPriority w:val="99"/>
    <w:qFormat/>
    <w:rsid w:val="005D6580"/>
    <w:rPr>
      <w:rFonts w:cs="Times New Roman"/>
      <w:i/>
      <w:iCs/>
    </w:rPr>
  </w:style>
  <w:style w:type="character" w:styleId="Collegamentoipertestuale">
    <w:name w:val="Hyperlink"/>
    <w:uiPriority w:val="99"/>
    <w:rsid w:val="00B50A4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50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50A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50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50A4C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7811C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7811CD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450ED"/>
  </w:style>
  <w:style w:type="character" w:customStyle="1" w:styleId="morecontent">
    <w:name w:val="morecontent"/>
    <w:basedOn w:val="Carpredefinitoparagrafo"/>
    <w:rsid w:val="00D450ED"/>
  </w:style>
  <w:style w:type="paragraph" w:customStyle="1" w:styleId="Default">
    <w:name w:val="Default"/>
    <w:rsid w:val="00D450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iniera_di_sale_di_Wieliczka" TargetMode="External"/><Relationship Id="rId13" Type="http://schemas.openxmlformats.org/officeDocument/2006/relationships/hyperlink" Target="https://it.wikipedia.org/wiki/Ignacy_Paderewski" TargetMode="External"/><Relationship Id="rId18" Type="http://schemas.openxmlformats.org/officeDocument/2006/relationships/hyperlink" Target="https://it.wikipedia.org/wiki/Germania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Patrimonio_dell%27umanit%C3%A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Alexander_von_Humboldt" TargetMode="External"/><Relationship Id="rId17" Type="http://schemas.openxmlformats.org/officeDocument/2006/relationships/hyperlink" Target="https://it.wikipedia.org/wiki/Seconda_guerra_mondial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apa_Giovanni_Paolo_II" TargetMode="External"/><Relationship Id="rId20" Type="http://schemas.openxmlformats.org/officeDocument/2006/relationships/hyperlink" Target="https://it.wikipedia.org/wiki/UNESC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Johann_Wolfgang_von_Goeth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apa_Giovanni_Paolo_II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it.wikipedia.org/wiki/Niccol%C3%B2_Copernico" TargetMode="External"/><Relationship Id="rId19" Type="http://schemas.openxmlformats.org/officeDocument/2006/relationships/hyperlink" Target="https://it.wikipedia.org/wiki/19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olonia" TargetMode="External"/><Relationship Id="rId14" Type="http://schemas.openxmlformats.org/officeDocument/2006/relationships/hyperlink" Target="https://it.wikipedia.org/wiki/Robert_Baden-Powell" TargetMode="External"/><Relationship Id="rId22" Type="http://schemas.openxmlformats.org/officeDocument/2006/relationships/hyperlink" Target="https://it.wikipedia.org/wiki/Kinga_di_Poloni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pc09000v@pec.istruzione.it" TargetMode="External"/><Relationship Id="rId2" Type="http://schemas.openxmlformats.org/officeDocument/2006/relationships/hyperlink" Target="mailto:napc09000v@istruzione.it" TargetMode="External"/><Relationship Id="rId1" Type="http://schemas.openxmlformats.org/officeDocument/2006/relationships/hyperlink" Target="http://www.liceoviconapol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GINNASIO STATALE</vt:lpstr>
    </vt:vector>
  </TitlesOfParts>
  <Company>Ministero Pubblica Istruzione</Company>
  <LinksUpToDate>false</LinksUpToDate>
  <CharactersWithSpaces>8146</CharactersWithSpaces>
  <SharedDoc>false</SharedDoc>
  <HLinks>
    <vt:vector size="24" baseType="variant"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mailto:napc09000v@pec.istruzione.it</vt:lpwstr>
      </vt:variant>
      <vt:variant>
        <vt:lpwstr/>
      </vt:variant>
      <vt:variant>
        <vt:i4>1310838</vt:i4>
      </vt:variant>
      <vt:variant>
        <vt:i4>6</vt:i4>
      </vt:variant>
      <vt:variant>
        <vt:i4>0</vt:i4>
      </vt:variant>
      <vt:variant>
        <vt:i4>5</vt:i4>
      </vt:variant>
      <vt:variant>
        <vt:lpwstr>mailto:napc09000v@istruzione.it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http://www.liceoviconapoli.it/</vt:lpwstr>
      </vt:variant>
      <vt:variant>
        <vt:lpwstr/>
      </vt:variant>
      <vt:variant>
        <vt:i4>2097221</vt:i4>
      </vt:variant>
      <vt:variant>
        <vt:i4>2573</vt:i4>
      </vt:variant>
      <vt:variant>
        <vt:i4>1026</vt:i4>
      </vt:variant>
      <vt:variant>
        <vt:i4>1</vt:i4>
      </vt:variant>
      <vt:variant>
        <vt:lpwstr>http://www.fondosocialeuropeo.it/flg_eu.gif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Ministero Pubblica Istruzione</dc:creator>
  <cp:lastModifiedBy>Clotilde Maria. Paisio</cp:lastModifiedBy>
  <cp:revision>2</cp:revision>
  <cp:lastPrinted>2010-09-13T10:11:00Z</cp:lastPrinted>
  <dcterms:created xsi:type="dcterms:W3CDTF">2018-02-06T14:12:00Z</dcterms:created>
  <dcterms:modified xsi:type="dcterms:W3CDTF">2018-02-06T14:12:00Z</dcterms:modified>
</cp:coreProperties>
</file>